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AC" w:rsidRDefault="00901AAC" w:rsidP="00901AAC">
      <w:r>
        <w:t xml:space="preserve">Researcher: Sergiu </w:t>
      </w:r>
      <w:proofErr w:type="spellStart"/>
      <w:r>
        <w:t>Baltatescu</w:t>
      </w:r>
      <w:proofErr w:type="spellEnd"/>
      <w:r>
        <w:t xml:space="preserve"> (email:</w:t>
      </w:r>
      <w:r w:rsidRPr="00901AAC">
        <w:t> </w:t>
      </w:r>
      <w:hyperlink r:id="rId5" w:history="1">
        <w:r w:rsidRPr="009F6D5D">
          <w:rPr>
            <w:rStyle w:val="Hipercze"/>
          </w:rPr>
          <w:t>bsergiu2@gmail.com</w:t>
        </w:r>
      </w:hyperlink>
      <w:r>
        <w:t>)</w:t>
      </w:r>
    </w:p>
    <w:p w:rsidR="00901AAC" w:rsidRDefault="00901AAC" w:rsidP="00901AAC"/>
    <w:p w:rsidR="00901AAC" w:rsidRPr="00901AAC" w:rsidRDefault="00901AAC" w:rsidP="00901AAC">
      <w:pPr>
        <w:jc w:val="center"/>
      </w:pPr>
      <w:r>
        <w:t>EQ Romanian</w:t>
      </w:r>
    </w:p>
    <w:p w:rsidR="00901AAC" w:rsidRPr="00901AAC" w:rsidRDefault="00901AAC" w:rsidP="00901AAC"/>
    <w:p w:rsidR="00901AAC" w:rsidRPr="00901AAC" w:rsidRDefault="00901AAC" w:rsidP="00901AAC">
      <w:proofErr w:type="spellStart"/>
      <w:r w:rsidRPr="00901AAC">
        <w:t>Următoarele</w:t>
      </w:r>
      <w:proofErr w:type="spellEnd"/>
      <w:r w:rsidRPr="00901AAC">
        <w:t xml:space="preserve"> </w:t>
      </w:r>
      <w:proofErr w:type="spellStart"/>
      <w:r w:rsidRPr="00901AAC">
        <w:t>afirmații</w:t>
      </w:r>
      <w:proofErr w:type="spellEnd"/>
      <w:r w:rsidRPr="00901AAC">
        <w:t xml:space="preserve"> </w:t>
      </w:r>
      <w:proofErr w:type="spellStart"/>
      <w:r w:rsidRPr="00901AAC">
        <w:t>descriu</w:t>
      </w:r>
      <w:proofErr w:type="spellEnd"/>
      <w:r w:rsidRPr="00901AAC">
        <w:t xml:space="preserve"> </w:t>
      </w:r>
      <w:proofErr w:type="spellStart"/>
      <w:r w:rsidRPr="00901AAC">
        <w:t>diferite</w:t>
      </w:r>
      <w:proofErr w:type="spellEnd"/>
      <w:r w:rsidRPr="00901AAC">
        <w:t xml:space="preserve"> </w:t>
      </w:r>
      <w:proofErr w:type="spellStart"/>
      <w:r w:rsidRPr="00901AAC">
        <w:t>atitudini</w:t>
      </w:r>
      <w:proofErr w:type="spellEnd"/>
      <w:r w:rsidRPr="00901AAC">
        <w:t xml:space="preserve"> din </w:t>
      </w:r>
      <w:proofErr w:type="spellStart"/>
      <w:r w:rsidRPr="00901AAC">
        <w:t>viață</w:t>
      </w:r>
      <w:proofErr w:type="spellEnd"/>
      <w:r w:rsidRPr="00901AAC">
        <w:t xml:space="preserve">. </w:t>
      </w:r>
      <w:proofErr w:type="spellStart"/>
      <w:r w:rsidRPr="00901AAC">
        <w:t>Citiți</w:t>
      </w:r>
      <w:proofErr w:type="spellEnd"/>
      <w:r w:rsidRPr="00901AAC">
        <w:t xml:space="preserve"> </w:t>
      </w:r>
      <w:proofErr w:type="spellStart"/>
      <w:r w:rsidRPr="00901AAC">
        <w:t>fiecare</w:t>
      </w:r>
      <w:proofErr w:type="spellEnd"/>
      <w:r w:rsidRPr="00901AAC">
        <w:t xml:space="preserve"> </w:t>
      </w:r>
      <w:proofErr w:type="spellStart"/>
      <w:r w:rsidRPr="00901AAC">
        <w:t>afirmație</w:t>
      </w:r>
      <w:proofErr w:type="spellEnd"/>
      <w:r w:rsidRPr="00901AAC">
        <w:t xml:space="preserve"> cu </w:t>
      </w:r>
      <w:proofErr w:type="spellStart"/>
      <w:r w:rsidRPr="00901AAC">
        <w:t>atenție</w:t>
      </w:r>
      <w:proofErr w:type="spellEnd"/>
      <w:r w:rsidRPr="00901AAC">
        <w:t xml:space="preserve">, </w:t>
      </w:r>
      <w:proofErr w:type="spellStart"/>
      <w:r w:rsidRPr="00901AAC">
        <w:t>după</w:t>
      </w:r>
      <w:proofErr w:type="spellEnd"/>
      <w:r w:rsidRPr="00901AAC">
        <w:t xml:space="preserve"> care </w:t>
      </w:r>
      <w:proofErr w:type="spellStart"/>
      <w:r w:rsidRPr="00901AAC">
        <w:t>alegeți</w:t>
      </w:r>
      <w:proofErr w:type="spellEnd"/>
      <w:r w:rsidRPr="00901AAC">
        <w:t xml:space="preserve"> un </w:t>
      </w:r>
      <w:proofErr w:type="spellStart"/>
      <w:r w:rsidRPr="00901AAC">
        <w:t>răspuns</w:t>
      </w:r>
      <w:proofErr w:type="spellEnd"/>
      <w:r w:rsidRPr="00901AAC">
        <w:t xml:space="preserve">, </w:t>
      </w:r>
      <w:proofErr w:type="spellStart"/>
      <w:r w:rsidRPr="00901AAC">
        <w:t>în</w:t>
      </w:r>
      <w:proofErr w:type="spellEnd"/>
      <w:r w:rsidRPr="00901AAC">
        <w:t xml:space="preserve"> </w:t>
      </w:r>
      <w:proofErr w:type="spellStart"/>
      <w:r w:rsidRPr="00901AAC">
        <w:t>funcție</w:t>
      </w:r>
      <w:proofErr w:type="spellEnd"/>
      <w:r w:rsidRPr="00901AAC">
        <w:t xml:space="preserve"> de </w:t>
      </w:r>
      <w:proofErr w:type="spellStart"/>
      <w:r w:rsidRPr="00901AAC">
        <w:t>cât</w:t>
      </w:r>
      <w:proofErr w:type="spellEnd"/>
      <w:r w:rsidRPr="00901AAC">
        <w:t xml:space="preserve"> de </w:t>
      </w:r>
      <w:proofErr w:type="spellStart"/>
      <w:r w:rsidRPr="00901AAC">
        <w:t>mult</w:t>
      </w:r>
      <w:proofErr w:type="spellEnd"/>
      <w:r w:rsidRPr="00901AAC">
        <w:t xml:space="preserve"> </w:t>
      </w:r>
      <w:proofErr w:type="spellStart"/>
      <w:r w:rsidRPr="00901AAC">
        <w:t>sunteți</w:t>
      </w:r>
      <w:proofErr w:type="spellEnd"/>
      <w:r w:rsidRPr="00901AAC">
        <w:t xml:space="preserve"> de </w:t>
      </w:r>
      <w:proofErr w:type="spellStart"/>
      <w:r w:rsidRPr="00901AAC">
        <w:t>acord</w:t>
      </w:r>
      <w:proofErr w:type="spellEnd"/>
      <w:r w:rsidRPr="00901AAC">
        <w:t xml:space="preserve"> cu </w:t>
      </w:r>
      <w:proofErr w:type="spellStart"/>
      <w:r w:rsidRPr="00901AAC">
        <w:t>aceste</w:t>
      </w:r>
      <w:proofErr w:type="spellEnd"/>
      <w:r w:rsidRPr="00901AAC">
        <w:t xml:space="preserve"> </w:t>
      </w:r>
      <w:proofErr w:type="spellStart"/>
      <w:r w:rsidRPr="00901AAC">
        <w:t>afirmații</w:t>
      </w:r>
      <w:proofErr w:type="spellEnd"/>
      <w:r w:rsidRPr="00901AAC">
        <w:t xml:space="preserve"> </w:t>
      </w:r>
      <w:proofErr w:type="spellStart"/>
      <w:r w:rsidRPr="00901AAC">
        <w:t>sau</w:t>
      </w:r>
      <w:proofErr w:type="spellEnd"/>
      <w:r w:rsidRPr="00901AAC">
        <w:t xml:space="preserve"> </w:t>
      </w:r>
      <w:proofErr w:type="spellStart"/>
      <w:r w:rsidRPr="00901AAC">
        <w:t>în</w:t>
      </w:r>
      <w:proofErr w:type="spellEnd"/>
      <w:r w:rsidRPr="00901AAC">
        <w:t xml:space="preserve"> </w:t>
      </w:r>
      <w:proofErr w:type="spellStart"/>
      <w:r w:rsidRPr="00901AAC">
        <w:t>ce</w:t>
      </w:r>
      <w:proofErr w:type="spellEnd"/>
      <w:r w:rsidRPr="00901AAC">
        <w:t xml:space="preserve"> </w:t>
      </w:r>
      <w:proofErr w:type="spellStart"/>
      <w:r w:rsidRPr="00901AAC">
        <w:t>măsură</w:t>
      </w:r>
      <w:proofErr w:type="spellEnd"/>
      <w:r w:rsidRPr="00901AAC">
        <w:t xml:space="preserve"> se </w:t>
      </w:r>
      <w:proofErr w:type="spellStart"/>
      <w:r w:rsidRPr="00901AAC">
        <w:t>referă</w:t>
      </w:r>
      <w:proofErr w:type="spellEnd"/>
      <w:r w:rsidRPr="00901AAC">
        <w:t xml:space="preserve"> la </w:t>
      </w:r>
      <w:proofErr w:type="spellStart"/>
      <w:r w:rsidRPr="00901AAC">
        <w:t>dumneavoastră</w:t>
      </w:r>
      <w:proofErr w:type="spellEnd"/>
      <w:r w:rsidRPr="00901AAC">
        <w:t xml:space="preserve">. </w:t>
      </w:r>
      <w:proofErr w:type="spellStart"/>
      <w:r w:rsidRPr="00901AAC">
        <w:t>Încercuiți</w:t>
      </w:r>
      <w:proofErr w:type="spellEnd"/>
      <w:r w:rsidRPr="00901AAC">
        <w:t xml:space="preserve"> </w:t>
      </w:r>
      <w:proofErr w:type="spellStart"/>
      <w:r w:rsidRPr="00901AAC">
        <w:t>răspunsul</w:t>
      </w:r>
      <w:proofErr w:type="spellEnd"/>
      <w:r w:rsidRPr="00901AAC">
        <w:t xml:space="preserve"> </w:t>
      </w:r>
      <w:proofErr w:type="spellStart"/>
      <w:r w:rsidRPr="00901AAC">
        <w:t>dorit</w:t>
      </w:r>
      <w:proofErr w:type="spellEnd"/>
      <w:r w:rsidRPr="00901AAC">
        <w:t xml:space="preserve">. </w:t>
      </w:r>
    </w:p>
    <w:p w:rsidR="00B12D41" w:rsidRDefault="00B12D41">
      <w:pPr>
        <w:rPr>
          <w:lang w:val="ro-RO"/>
        </w:rPr>
      </w:pPr>
    </w:p>
    <w:tbl>
      <w:tblPr>
        <w:tblStyle w:val="Jasnasiatk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992"/>
        <w:gridCol w:w="992"/>
        <w:gridCol w:w="992"/>
        <w:gridCol w:w="851"/>
        <w:gridCol w:w="1134"/>
      </w:tblGrid>
      <w:tr w:rsidR="00901AAC" w:rsidTr="00FB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152C17" w:rsidRDefault="00901AAC" w:rsidP="00901AAC"/>
        </w:tc>
        <w:tc>
          <w:tcPr>
            <w:tcW w:w="1276" w:type="dxa"/>
          </w:tcPr>
          <w:p w:rsidR="00901AAC" w:rsidRPr="00901AAC" w:rsidRDefault="00901AAC" w:rsidP="00901AAC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901AAC">
              <w:rPr>
                <w:b w:val="0"/>
                <w:bCs w:val="0"/>
                <w:sz w:val="18"/>
                <w:szCs w:val="18"/>
                <w:lang w:val="ro-RO"/>
              </w:rPr>
              <w:t>Deza-cord pu-ternic</w:t>
            </w:r>
          </w:p>
        </w:tc>
        <w:tc>
          <w:tcPr>
            <w:tcW w:w="992" w:type="dxa"/>
          </w:tcPr>
          <w:p w:rsidR="00901AAC" w:rsidRPr="00901AAC" w:rsidRDefault="00901AAC" w:rsidP="00901AAC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901AAC">
              <w:rPr>
                <w:b w:val="0"/>
                <w:bCs w:val="0"/>
                <w:sz w:val="18"/>
                <w:szCs w:val="18"/>
                <w:lang w:val="ro-RO"/>
              </w:rPr>
              <w:t>În deza-cord</w:t>
            </w:r>
          </w:p>
        </w:tc>
        <w:tc>
          <w:tcPr>
            <w:tcW w:w="992" w:type="dxa"/>
          </w:tcPr>
          <w:p w:rsidR="00901AAC" w:rsidRPr="00901AAC" w:rsidRDefault="00901AAC" w:rsidP="00901AAC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901AAC">
              <w:rPr>
                <w:b w:val="0"/>
                <w:bCs w:val="0"/>
                <w:sz w:val="18"/>
                <w:szCs w:val="18"/>
                <w:lang w:val="ro-RO"/>
              </w:rPr>
              <w:t>Mai degrabă în deza-cord</w:t>
            </w:r>
          </w:p>
        </w:tc>
        <w:tc>
          <w:tcPr>
            <w:tcW w:w="992" w:type="dxa"/>
          </w:tcPr>
          <w:p w:rsidR="00901AAC" w:rsidRPr="00901AAC" w:rsidRDefault="00901AAC" w:rsidP="00901AAC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901AAC">
              <w:rPr>
                <w:b w:val="0"/>
                <w:bCs w:val="0"/>
                <w:sz w:val="18"/>
                <w:szCs w:val="18"/>
                <w:lang w:val="ro-RO"/>
              </w:rPr>
              <w:t>Mai degrabă de acord</w:t>
            </w:r>
          </w:p>
        </w:tc>
        <w:tc>
          <w:tcPr>
            <w:tcW w:w="851" w:type="dxa"/>
          </w:tcPr>
          <w:p w:rsidR="00901AAC" w:rsidRPr="00901AAC" w:rsidRDefault="00901AAC" w:rsidP="00901AAC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901AAC">
              <w:rPr>
                <w:b w:val="0"/>
                <w:bCs w:val="0"/>
                <w:sz w:val="18"/>
                <w:szCs w:val="18"/>
                <w:lang w:val="ro-RO"/>
              </w:rPr>
              <w:t>De acord</w:t>
            </w:r>
          </w:p>
        </w:tc>
        <w:tc>
          <w:tcPr>
            <w:tcW w:w="1134" w:type="dxa"/>
          </w:tcPr>
          <w:p w:rsidR="00901AAC" w:rsidRPr="00901AAC" w:rsidRDefault="00901AAC" w:rsidP="00901AAC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901AAC">
              <w:rPr>
                <w:b w:val="0"/>
                <w:bCs w:val="0"/>
                <w:sz w:val="18"/>
                <w:szCs w:val="18"/>
                <w:lang w:val="ro-RO"/>
              </w:rPr>
              <w:t>Puternic de acord</w:t>
            </w:r>
          </w:p>
        </w:tc>
      </w:tr>
      <w:tr w:rsidR="00901AAC" w:rsidRPr="006664DF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901AAC" w:rsidP="00FB2E2E">
            <w:pPr>
              <w:numPr>
                <w:ilvl w:val="0"/>
                <w:numId w:val="1"/>
              </w:numPr>
              <w:tabs>
                <w:tab w:val="left" w:pos="7655"/>
              </w:tabs>
              <w:ind w:left="357" w:hanging="357"/>
              <w:jc w:val="both"/>
              <w:rPr>
                <w:b w:val="0"/>
                <w:sz w:val="20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Îmi amintesc multă vreme răul care mi-a fost făcut</w:t>
            </w:r>
          </w:p>
        </w:tc>
        <w:tc>
          <w:tcPr>
            <w:tcW w:w="1276" w:type="dxa"/>
          </w:tcPr>
          <w:p w:rsidR="00901AAC" w:rsidRPr="00E52DB2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1</w:t>
            </w:r>
          </w:p>
        </w:tc>
        <w:tc>
          <w:tcPr>
            <w:tcW w:w="992" w:type="dxa"/>
          </w:tcPr>
          <w:p w:rsidR="00901AAC" w:rsidRPr="00E52DB2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2</w:t>
            </w:r>
          </w:p>
        </w:tc>
        <w:tc>
          <w:tcPr>
            <w:tcW w:w="992" w:type="dxa"/>
          </w:tcPr>
          <w:p w:rsidR="00901AAC" w:rsidRPr="00E52DB2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3</w:t>
            </w:r>
          </w:p>
        </w:tc>
        <w:tc>
          <w:tcPr>
            <w:tcW w:w="992" w:type="dxa"/>
          </w:tcPr>
          <w:p w:rsidR="00901AAC" w:rsidRPr="00E52DB2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4</w:t>
            </w:r>
          </w:p>
        </w:tc>
        <w:tc>
          <w:tcPr>
            <w:tcW w:w="851" w:type="dxa"/>
          </w:tcPr>
          <w:p w:rsidR="00901AAC" w:rsidRPr="00E52DB2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5</w:t>
            </w:r>
          </w:p>
        </w:tc>
        <w:tc>
          <w:tcPr>
            <w:tcW w:w="1134" w:type="dxa"/>
          </w:tcPr>
          <w:p w:rsidR="00901AAC" w:rsidRPr="00E52DB2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DB2">
              <w:t>6</w:t>
            </w:r>
          </w:p>
        </w:tc>
      </w:tr>
      <w:tr w:rsidR="00901AAC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901AAC" w:rsidP="00901AAC">
            <w:pPr>
              <w:pStyle w:val="Akapitzlist"/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Este obligația statului să aibă grijă de toţi cetăţenii săi</w:t>
            </w:r>
          </w:p>
        </w:tc>
        <w:tc>
          <w:tcPr>
            <w:tcW w:w="1276" w:type="dxa"/>
          </w:tcPr>
          <w:p w:rsidR="00901AAC" w:rsidRPr="00E52DB2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1</w:t>
            </w:r>
          </w:p>
        </w:tc>
        <w:tc>
          <w:tcPr>
            <w:tcW w:w="992" w:type="dxa"/>
          </w:tcPr>
          <w:p w:rsidR="00901AAC" w:rsidRPr="00E52DB2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2</w:t>
            </w:r>
          </w:p>
        </w:tc>
        <w:tc>
          <w:tcPr>
            <w:tcW w:w="992" w:type="dxa"/>
          </w:tcPr>
          <w:p w:rsidR="00901AAC" w:rsidRPr="00E52DB2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3</w:t>
            </w:r>
          </w:p>
        </w:tc>
        <w:tc>
          <w:tcPr>
            <w:tcW w:w="992" w:type="dxa"/>
          </w:tcPr>
          <w:p w:rsidR="00901AAC" w:rsidRPr="00E52DB2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4</w:t>
            </w:r>
          </w:p>
        </w:tc>
        <w:tc>
          <w:tcPr>
            <w:tcW w:w="851" w:type="dxa"/>
          </w:tcPr>
          <w:p w:rsidR="00901AAC" w:rsidRPr="00E52DB2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5</w:t>
            </w:r>
          </w:p>
        </w:tc>
        <w:tc>
          <w:tcPr>
            <w:tcW w:w="1134" w:type="dxa"/>
          </w:tcPr>
          <w:p w:rsidR="00901AAC" w:rsidRPr="00E52DB2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52DB2">
              <w:t>6</w:t>
            </w:r>
          </w:p>
        </w:tc>
      </w:tr>
      <w:tr w:rsidR="00901AAC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901AAC" w:rsidP="00901AAC">
            <w:pPr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„Ochi pentru ochi, dinte pentru dinte” este o regulă dreaptă</w:t>
            </w:r>
          </w:p>
        </w:tc>
        <w:tc>
          <w:tcPr>
            <w:tcW w:w="1276" w:type="dxa"/>
          </w:tcPr>
          <w:p w:rsidR="00901AAC" w:rsidRDefault="00901AAC" w:rsidP="00901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01AAC" w:rsidRDefault="00901AAC" w:rsidP="00901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01AAC" w:rsidRDefault="00901AAC" w:rsidP="00901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901AAC" w:rsidRDefault="00901AAC" w:rsidP="00901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901AAC" w:rsidRDefault="00901AAC" w:rsidP="00901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01AAC" w:rsidRDefault="00901AAC" w:rsidP="00901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01AAC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901AAC" w:rsidP="00901AAC">
            <w:pPr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Dacă primesc mai puțin decât m</w:t>
            </w:r>
            <w:bookmarkStart w:id="0" w:name="_GoBack"/>
            <w:bookmarkEnd w:id="0"/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erit, o spun deschis</w:t>
            </w:r>
          </w:p>
        </w:tc>
        <w:tc>
          <w:tcPr>
            <w:tcW w:w="1276" w:type="dxa"/>
          </w:tcPr>
          <w:p w:rsidR="00901AAC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01AAC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01AAC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901AAC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901AAC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01AAC" w:rsidRDefault="00901AAC" w:rsidP="00901A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01AAC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901AAC" w:rsidP="00FB2E2E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  <w:tab w:val="left" w:pos="7655"/>
              </w:tabs>
              <w:spacing w:line="360" w:lineRule="auto"/>
              <w:jc w:val="both"/>
              <w:rPr>
                <w:b w:val="0"/>
                <w:sz w:val="20"/>
                <w:lang w:val="it-IT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Toată lumea are dreptul să se aștepte la ajutor din partea statului când este în dificultate</w:t>
            </w:r>
          </w:p>
        </w:tc>
        <w:tc>
          <w:tcPr>
            <w:tcW w:w="1276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01AAC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256F0C" w:rsidP="00FB2E2E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sz w:val="20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Oamenii ar trebui întotdeauna să ceară ce li se cuvine</w:t>
            </w:r>
          </w:p>
        </w:tc>
        <w:tc>
          <w:tcPr>
            <w:tcW w:w="1276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6F0C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56F0C" w:rsidRPr="00256F0C" w:rsidRDefault="00256F0C" w:rsidP="00256F0C">
            <w:pPr>
              <w:pStyle w:val="Akapitzlist"/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Nu iert nedreptățile care mi s-au făcut</w:t>
            </w:r>
          </w:p>
        </w:tc>
        <w:tc>
          <w:tcPr>
            <w:tcW w:w="1276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6F0C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56F0C" w:rsidRPr="00256F0C" w:rsidRDefault="00256F0C" w:rsidP="00256F0C">
            <w:pPr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Cei dezavantajați merită ajutor instituțional</w:t>
            </w:r>
          </w:p>
        </w:tc>
        <w:tc>
          <w:tcPr>
            <w:tcW w:w="1276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6F0C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56F0C" w:rsidRPr="00256F0C" w:rsidRDefault="00256F0C" w:rsidP="00256F0C">
            <w:pPr>
              <w:pStyle w:val="Akapitzlist"/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Statul ar trebui să-i sprijine pe cei mai săraci să poată supraviețui</w:t>
            </w:r>
          </w:p>
        </w:tc>
        <w:tc>
          <w:tcPr>
            <w:tcW w:w="1276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6F0C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56F0C" w:rsidRPr="00256F0C" w:rsidRDefault="00256F0C" w:rsidP="00256F0C">
            <w:pPr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Deseori cer să fiu tratat corespunzător</w:t>
            </w:r>
          </w:p>
        </w:tc>
        <w:tc>
          <w:tcPr>
            <w:tcW w:w="1276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6F0C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56F0C" w:rsidRPr="00256F0C" w:rsidRDefault="00256F0C" w:rsidP="00256F0C">
            <w:pPr>
              <w:pStyle w:val="Akapitzlist"/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Merit ce e mai bun</w:t>
            </w:r>
          </w:p>
        </w:tc>
        <w:tc>
          <w:tcPr>
            <w:tcW w:w="1276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256F0C" w:rsidRDefault="00256F0C" w:rsidP="00256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6F0C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256F0C" w:rsidRPr="00256F0C" w:rsidRDefault="00256F0C" w:rsidP="00256F0C">
            <w:pPr>
              <w:numPr>
                <w:ilvl w:val="0"/>
                <w:numId w:val="1"/>
              </w:numPr>
              <w:suppressAutoHyphens/>
              <w:spacing w:before="60" w:after="120"/>
              <w:rPr>
                <w:rFonts w:ascii="Arial" w:hAnsi="Arial" w:cs="Arial"/>
                <w:b w:val="0"/>
                <w:sz w:val="20"/>
                <w:szCs w:val="18"/>
                <w:lang w:val="ro-RO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Autoritățile sunt obligate sa asigure condiții decente de trai populației</w:t>
            </w:r>
          </w:p>
        </w:tc>
        <w:tc>
          <w:tcPr>
            <w:tcW w:w="1276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256F0C" w:rsidRDefault="00256F0C" w:rsidP="00256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01AAC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256F0C" w:rsidP="00FB2E2E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sz w:val="20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Este necesar sa pretinzi ceea ce meriți</w:t>
            </w:r>
          </w:p>
        </w:tc>
        <w:tc>
          <w:tcPr>
            <w:tcW w:w="1276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01AAC" w:rsidTr="00FB2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256F0C" w:rsidP="00FB2E2E">
            <w:pPr>
              <w:numPr>
                <w:ilvl w:val="0"/>
                <w:numId w:val="1"/>
              </w:numPr>
              <w:tabs>
                <w:tab w:val="clear" w:pos="360"/>
              </w:tabs>
              <w:ind w:left="357" w:hanging="357"/>
              <w:jc w:val="both"/>
              <w:rPr>
                <w:b w:val="0"/>
                <w:sz w:val="20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Iert cu greu nedreptăţile ce mi s-au făcut</w:t>
            </w:r>
          </w:p>
        </w:tc>
        <w:tc>
          <w:tcPr>
            <w:tcW w:w="1276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01AAC" w:rsidRDefault="00901AAC" w:rsidP="00FB2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01AAC" w:rsidTr="00FB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901AAC" w:rsidRPr="00256F0C" w:rsidRDefault="00256F0C" w:rsidP="00FB2E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 w:val="0"/>
                <w:sz w:val="20"/>
                <w:lang w:val="en-GB"/>
              </w:rPr>
            </w:pPr>
            <w:r w:rsidRPr="00256F0C">
              <w:rPr>
                <w:rFonts w:ascii="Arial" w:hAnsi="Arial" w:cs="Arial"/>
                <w:b w:val="0"/>
                <w:sz w:val="20"/>
                <w:szCs w:val="18"/>
                <w:lang w:val="ro-RO"/>
              </w:rPr>
              <w:t>Cine mă rănește nu se poate aștepta la simpatia mea</w:t>
            </w:r>
          </w:p>
        </w:tc>
        <w:tc>
          <w:tcPr>
            <w:tcW w:w="1276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901AAC" w:rsidRDefault="00901AAC" w:rsidP="00FB2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901AAC" w:rsidRPr="00901AAC" w:rsidRDefault="00901AAC">
      <w:pPr>
        <w:rPr>
          <w:lang w:val="ro-RO"/>
        </w:rPr>
      </w:pPr>
    </w:p>
    <w:sectPr w:rsidR="00901AAC" w:rsidRPr="00901AAC" w:rsidSect="00901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0AAF"/>
    <w:multiLevelType w:val="hybridMultilevel"/>
    <w:tmpl w:val="5DD41F34"/>
    <w:lvl w:ilvl="0" w:tplc="E1AE72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A62FB"/>
    <w:multiLevelType w:val="multilevel"/>
    <w:tmpl w:val="5694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AC"/>
    <w:rsid w:val="00256F0C"/>
    <w:rsid w:val="00901AAC"/>
    <w:rsid w:val="00B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5F9"/>
  <w15:chartTrackingRefBased/>
  <w15:docId w15:val="{DDD8361B-94A6-4543-A10E-FD6D2F4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A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Jasnasiatka">
    <w:name w:val="Light Grid"/>
    <w:basedOn w:val="Standardowy"/>
    <w:uiPriority w:val="62"/>
    <w:rsid w:val="00901A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901AAC"/>
    <w:pPr>
      <w:jc w:val="both"/>
    </w:pPr>
    <w:rPr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A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ergiu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2</cp:revision>
  <dcterms:created xsi:type="dcterms:W3CDTF">2019-05-05T12:12:00Z</dcterms:created>
  <dcterms:modified xsi:type="dcterms:W3CDTF">2019-05-05T12:25:00Z</dcterms:modified>
</cp:coreProperties>
</file>